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  <w:bdr w:val="none" w:sz="0" w:space="0" w:color="auto" w:frame="1"/>
        </w:rPr>
        <w:t>如东县人民检察院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  <w:bdr w:val="none" w:sz="0" w:space="0" w:color="auto" w:frame="1"/>
        </w:rPr>
        <w:t>机关干警思想动态定期分析制度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第一章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总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则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第一条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为进一步加强</w:t>
      </w:r>
      <w:r w:rsidR="00F1543F"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如东检察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院机关队伍建设，提升基层党组织的组织力，加强对干警的教育管理监督，有针对性地做好思想政治工作，促进检察队伍健康发展，根据《党章》、推进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两学一做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”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常态化制度化要求和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省、市有关党建的规定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，结合</w:t>
      </w:r>
      <w:r w:rsidR="00F1543F"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如东检察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院机关实际，制定本制度。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第二条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干警思想动态定期分析工作总的要求是，及时准确了解干警思想动态，查找突出问题，科学分析原因，采取有效措施，切实增强队伍建设的预见性、主动性、针对性和有效性，为建设信念坚定、执法为民、敢于担当、清正廉洁的检察队伍提供重要保障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第二章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主要内容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第三条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干警思想动态定期分析，既包括思想积极方面的情况，也包括思想问题方面的情况。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第四条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干警思想动态，重点从以下几个方面分析：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（一）理想信念方面；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（二）意识形态方面；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（三）履行职责方面；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lastRenderedPageBreak/>
        <w:t>（四）遵纪守法方面；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（五）廉洁自律方面；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（六）个人需求方面；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（七）家庭生活方面；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（八）其它方面。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jc w:val="center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第三章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方法步骤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第五条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工作方法：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（一）问卷调查法。可提前将需要了解的情况制作成问卷，通过干警回答问题，了解掌握思想动态。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（二）座谈了解法。可在一定范围内召开座谈会，互相讨论启发，了解掌握一定时期内存在的倾向性思想问题。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（三）个别谈话法。针对个人存在的思想问题，通过一对一的个别谈话进行了解。个别谈话可随时谈，对明显有问题苗头的要重点谈、即时谈。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（四）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平时观察法。通过对干警日常行为的近距离观察、对比，发现可能存在的思想问题。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（五）角色互换法。通过转换角色、换位思考、设身处地分析可能存在的问题，并通过相应方法进行印证和甄别。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第六条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工作步骤：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lastRenderedPageBreak/>
        <w:t>（一）各支部掌握情况。各支部书记、委员通过上述工作方法了解掌握本部门干警的思想动态，并进行归纳分析。对积极的思想要及时肯定、鼓励。对思想问题，属于个性方面的，要及时做好一对一的思想工作；属于共性方面的，要提出解决问题的建议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二）机关党委汇总分析。每季度最后一个周五上午，机关党委召开由各支部负责人参加的干警思想动态分析会，各支部负责人书面汇报本部门干警思想动态情况，讨论解决问题的方式方法。机关党委对各支部汇报的情况进行汇总分析，研究提出下一步工作初步建议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（三）向院党组汇报。每季度初，机关党委向院党组汇报上季度干警思想动态情况。如遇紧急或重要情况及时汇报。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（四）抓好落实。根据干警思想动态、院党组研究意见，及时抓好工作落实，并跟踪问效。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（五）成果运用。机关党委每年形成干警思想动态情况年度分析报告，报市院党组，供领导决策。也可视情报省院、市委、市直工委等领导机关，供参阅。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jc w:val="center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第四章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组织领导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第七条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各党支部书记是本支部干警思想动态分析工作的第一责任人，要加强对所属干警的教育管理监督，及时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lastRenderedPageBreak/>
        <w:t>掌握干警思想动态，积极主动解决问题，切实负起主体责任。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第八条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党支部组织委员为干警思想动态分析工作的联系人，负责起草工作汇报、记录、总结、跟踪问效等工作。有关资料将作为年终支部评先时的依据。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第九条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参加干警思想动态分析会议的人员，对涉及工作秘密、个人隐私等需要保密的内容，要严格做好保密工作，不得泄露。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第五章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附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cs="Times New Roman" w:hint="eastAsia"/>
          <w:color w:val="000000"/>
          <w:sz w:val="32"/>
          <w:szCs w:val="32"/>
          <w:bdr w:val="none" w:sz="0" w:space="0" w:color="auto" w:frame="1"/>
        </w:rPr>
        <w:t>则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第十条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本制度由</w:t>
      </w:r>
      <w:r w:rsidR="00F1543F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如东检察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院政治部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负责解释。</w:t>
      </w:r>
    </w:p>
    <w:p w:rsidR="00303817" w:rsidRDefault="00303817" w:rsidP="00303817">
      <w:pPr>
        <w:pStyle w:val="a7"/>
        <w:shd w:val="clear" w:color="auto" w:fill="FFFFFF"/>
        <w:spacing w:before="0" w:beforeAutospacing="0" w:after="0" w:afterAutospacing="0" w:line="600" w:lineRule="atLeast"/>
        <w:ind w:firstLine="630"/>
        <w:rPr>
          <w:rFonts w:ascii="微软雅黑" w:eastAsia="微软雅黑" w:hAnsi="微软雅黑"/>
          <w:color w:val="000000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第十一条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bdr w:val="none" w:sz="0" w:space="0" w:color="auto" w:frame="1"/>
        </w:rPr>
        <w:t>本制度自发布之日起施行。</w:t>
      </w:r>
    </w:p>
    <w:p w:rsidR="00AA5E39" w:rsidRPr="00303817" w:rsidRDefault="00AA5E39"/>
    <w:sectPr w:rsidR="00AA5E39" w:rsidRPr="00303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75" w:rsidRDefault="005A6C75" w:rsidP="00303817">
      <w:r>
        <w:separator/>
      </w:r>
    </w:p>
  </w:endnote>
  <w:endnote w:type="continuationSeparator" w:id="0">
    <w:p w:rsidR="005A6C75" w:rsidRDefault="005A6C75" w:rsidP="0030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75" w:rsidRDefault="005A6C75" w:rsidP="00303817">
      <w:r>
        <w:separator/>
      </w:r>
    </w:p>
  </w:footnote>
  <w:footnote w:type="continuationSeparator" w:id="0">
    <w:p w:rsidR="005A6C75" w:rsidRDefault="005A6C75" w:rsidP="0030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7"/>
    <w:rsid w:val="000F5DA7"/>
    <w:rsid w:val="00303817"/>
    <w:rsid w:val="005A6C75"/>
    <w:rsid w:val="008B1631"/>
    <w:rsid w:val="00AA5E39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C2B05"/>
  <w15:chartTrackingRefBased/>
  <w15:docId w15:val="{3500915B-D124-4CEA-962D-71AAB1B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8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81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0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2019-12-11T08:45:00Z</dcterms:created>
  <dcterms:modified xsi:type="dcterms:W3CDTF">2019-12-11T08:49:00Z</dcterms:modified>
</cp:coreProperties>
</file>