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contextualSpacing/>
        <w:jc w:val="distribute"/>
        <w:rPr>
          <w:rFonts w:ascii="宋体" w:hAnsi="宋体"/>
          <w:b/>
          <w:color w:val="FF0000"/>
          <w:spacing w:val="-20"/>
          <w:w w:val="90"/>
          <w:sz w:val="72"/>
          <w:szCs w:val="72"/>
        </w:rPr>
      </w:pPr>
      <w:r>
        <w:rPr>
          <w:rFonts w:hint="eastAsia" w:ascii="宋体" w:hAnsi="宋体"/>
          <w:b/>
          <w:color w:val="FF0000"/>
          <w:spacing w:val="-20"/>
          <w:w w:val="90"/>
          <w:sz w:val="72"/>
          <w:szCs w:val="72"/>
        </w:rPr>
        <w:t>如东县人民检察院</w:t>
      </w:r>
    </w:p>
    <w:p>
      <w:pPr>
        <w:spacing w:line="1080" w:lineRule="exact"/>
        <w:contextualSpacing/>
        <w:jc w:val="distribute"/>
        <w:rPr>
          <w:rFonts w:ascii="宋体" w:hAnsi="宋体"/>
          <w:b/>
          <w:color w:val="FF0000"/>
          <w:spacing w:val="-20"/>
          <w:w w:val="90"/>
          <w:sz w:val="72"/>
          <w:szCs w:val="72"/>
        </w:rPr>
      </w:pPr>
      <w:r>
        <w:rPr>
          <w:rFonts w:hint="eastAsia" w:ascii="宋体" w:hAnsi="宋体"/>
          <w:b/>
          <w:color w:val="FF0000"/>
          <w:spacing w:val="-20"/>
          <w:w w:val="90"/>
          <w:sz w:val="72"/>
          <w:szCs w:val="72"/>
        </w:rPr>
        <w:t>如东县司法局</w:t>
      </w:r>
    </w:p>
    <w:p>
      <w:pPr>
        <w:spacing w:line="1080" w:lineRule="exact"/>
        <w:contextualSpacing/>
        <w:jc w:val="distribute"/>
        <w:rPr>
          <w:rFonts w:ascii="宋体" w:hAnsi="宋体"/>
          <w:b/>
          <w:color w:val="FF0000"/>
          <w:spacing w:val="-20"/>
          <w:w w:val="90"/>
          <w:sz w:val="72"/>
          <w:szCs w:val="72"/>
        </w:rPr>
      </w:pPr>
      <w:r>
        <w:rPr>
          <w:rFonts w:hint="eastAsia" w:ascii="宋体" w:hAnsi="宋体"/>
          <w:b/>
          <w:color w:val="FF0000"/>
          <w:spacing w:val="-20"/>
          <w:w w:val="90"/>
          <w:sz w:val="72"/>
          <w:szCs w:val="72"/>
        </w:rPr>
        <w:t>如东县</w:t>
      </w:r>
      <w:r>
        <w:rPr>
          <w:rFonts w:hint="eastAsia" w:ascii="宋体" w:hAnsi="宋体"/>
          <w:b/>
          <w:color w:val="FF0000"/>
          <w:spacing w:val="-20"/>
          <w:w w:val="90"/>
          <w:sz w:val="72"/>
          <w:szCs w:val="72"/>
          <w:lang w:eastAsia="zh-CN"/>
        </w:rPr>
        <w:t>财政局</w:t>
      </w:r>
    </w:p>
    <w:p>
      <w:pPr>
        <w:spacing w:line="1080" w:lineRule="exact"/>
        <w:contextualSpacing/>
        <w:jc w:val="distribute"/>
        <w:rPr>
          <w:rFonts w:hint="eastAsia" w:ascii="宋体" w:hAnsi="宋体"/>
          <w:b/>
          <w:color w:val="FF0000"/>
          <w:spacing w:val="-20"/>
          <w:w w:val="90"/>
          <w:sz w:val="72"/>
          <w:szCs w:val="72"/>
        </w:rPr>
      </w:pPr>
      <w:r>
        <w:rPr>
          <w:rFonts w:hint="eastAsia" w:ascii="宋体" w:hAnsi="宋体"/>
          <w:b/>
          <w:color w:val="FF0000"/>
          <w:spacing w:val="-20"/>
          <w:w w:val="90"/>
          <w:sz w:val="72"/>
          <w:szCs w:val="72"/>
        </w:rPr>
        <w:t>南通市如东生态环境局</w:t>
      </w:r>
    </w:p>
    <w:p>
      <w:pPr>
        <w:spacing w:line="1080" w:lineRule="exact"/>
        <w:contextualSpacing/>
        <w:jc w:val="distribute"/>
        <w:rPr>
          <w:rFonts w:hint="eastAsia" w:ascii="宋体" w:hAnsi="宋体"/>
          <w:b/>
          <w:color w:val="FF0000"/>
          <w:spacing w:val="-20"/>
          <w:w w:val="90"/>
          <w:sz w:val="84"/>
          <w:szCs w:val="84"/>
        </w:rPr>
      </w:pPr>
      <w:r>
        <w:rPr>
          <w:rFonts w:hint="eastAsia" w:ascii="宋体" w:hAnsi="宋体"/>
          <w:b/>
          <w:color w:val="FF0000"/>
          <w:spacing w:val="-20"/>
          <w:w w:val="90"/>
          <w:sz w:val="72"/>
          <w:szCs w:val="72"/>
        </w:rPr>
        <w:t>如东县国有资产监督管理办公室</w:t>
      </w:r>
    </w:p>
    <w:p>
      <w:pPr>
        <w:spacing w:line="1080" w:lineRule="exact"/>
        <w:contextualSpacing/>
        <w:jc w:val="distribute"/>
        <w:rPr>
          <w:rFonts w:hint="eastAsia" w:ascii="宋体" w:hAnsi="宋体"/>
          <w:b/>
          <w:color w:val="FF0000"/>
          <w:spacing w:val="-20"/>
          <w:w w:val="90"/>
          <w:sz w:val="72"/>
          <w:szCs w:val="72"/>
        </w:rPr>
      </w:pPr>
      <w:r>
        <w:rPr>
          <w:rFonts w:hint="eastAsia" w:ascii="宋体" w:hAnsi="宋体"/>
          <w:b/>
          <w:color w:val="FF0000"/>
          <w:spacing w:val="-20"/>
          <w:w w:val="90"/>
          <w:sz w:val="72"/>
          <w:szCs w:val="72"/>
        </w:rPr>
        <w:t>国家税务总局如东县税务局</w:t>
      </w:r>
    </w:p>
    <w:p>
      <w:pPr>
        <w:spacing w:line="1080" w:lineRule="exact"/>
        <w:contextualSpacing/>
        <w:jc w:val="distribute"/>
        <w:rPr>
          <w:rFonts w:hint="eastAsia" w:ascii="宋体" w:hAnsi="宋体"/>
          <w:b/>
          <w:color w:val="FF0000"/>
          <w:spacing w:val="-20"/>
          <w:w w:val="90"/>
          <w:sz w:val="72"/>
          <w:szCs w:val="72"/>
        </w:rPr>
      </w:pPr>
      <w:r>
        <w:rPr>
          <w:rFonts w:hint="eastAsia" w:ascii="宋体" w:hAnsi="宋体"/>
          <w:b/>
          <w:color w:val="FF0000"/>
          <w:spacing w:val="-20"/>
          <w:w w:val="90"/>
          <w:sz w:val="72"/>
          <w:szCs w:val="72"/>
        </w:rPr>
        <w:t>如东县市场监督管理局</w:t>
      </w:r>
    </w:p>
    <w:p>
      <w:pPr>
        <w:spacing w:line="1080" w:lineRule="exact"/>
        <w:contextualSpacing/>
        <w:jc w:val="distribute"/>
        <w:rPr>
          <w:rFonts w:hint="eastAsia" w:ascii="宋体" w:hAnsi="宋体"/>
          <w:b/>
          <w:color w:val="FF0000"/>
          <w:spacing w:val="-20"/>
          <w:w w:val="90"/>
          <w:sz w:val="72"/>
          <w:szCs w:val="72"/>
        </w:rPr>
      </w:pPr>
      <w:r>
        <w:rPr>
          <w:rFonts w:hint="eastAsia" w:ascii="宋体" w:hAnsi="宋体"/>
          <w:b/>
          <w:color w:val="FF0000"/>
          <w:spacing w:val="-20"/>
          <w:w w:val="90"/>
          <w:sz w:val="72"/>
          <w:szCs w:val="72"/>
        </w:rPr>
        <w:t>如东县工商业联合会</w:t>
      </w:r>
    </w:p>
    <w:p>
      <w:pPr>
        <w:contextualSpacing/>
        <w:jc w:val="center"/>
        <w:rPr>
          <w:rFonts w:ascii="仿宋_GB2312" w:hAnsi="Verdana" w:eastAsia="仿宋_GB2312"/>
          <w:b/>
          <w:sz w:val="30"/>
          <w:szCs w:val="30"/>
        </w:rPr>
      </w:pPr>
      <w:r>
        <w:rPr>
          <w:rFonts w:hint="eastAsia" w:ascii="仿宋_GB2312" w:hAnsi="Verdana" w:eastAsia="仿宋_GB2312"/>
          <w:b/>
          <w:sz w:val="30"/>
          <w:szCs w:val="30"/>
        </w:rPr>
        <w:t>东检会〔</w:t>
      </w:r>
      <w:r>
        <w:rPr>
          <w:rFonts w:hint="eastAsia" w:ascii="仿宋_GB2312" w:hAnsi="Verdana" w:eastAsia="仿宋_GB2312"/>
          <w:sz w:val="30"/>
          <w:szCs w:val="30"/>
        </w:rPr>
        <w:t>202</w:t>
      </w:r>
      <w:r>
        <w:rPr>
          <w:rFonts w:hint="eastAsia" w:ascii="仿宋_GB2312" w:hAnsi="Verdana" w:eastAsia="仿宋_GB2312"/>
          <w:sz w:val="30"/>
          <w:szCs w:val="30"/>
          <w:lang w:val="en-US" w:eastAsia="zh-CN"/>
        </w:rPr>
        <w:t>1</w:t>
      </w:r>
      <w:r>
        <w:rPr>
          <w:rFonts w:hint="eastAsia" w:ascii="仿宋_GB2312" w:hAnsi="Verdana" w:eastAsia="仿宋_GB2312"/>
          <w:b/>
          <w:sz w:val="30"/>
          <w:szCs w:val="30"/>
        </w:rPr>
        <w:t>〕</w:t>
      </w:r>
      <w:r>
        <w:rPr>
          <w:rFonts w:hint="eastAsia" w:ascii="仿宋_GB2312" w:hAnsi="Verdana" w:eastAsia="仿宋_GB2312"/>
          <w:b/>
          <w:sz w:val="30"/>
          <w:szCs w:val="30"/>
          <w:lang w:val="en-US" w:eastAsia="zh-CN"/>
        </w:rPr>
        <w:t>5</w:t>
      </w:r>
      <w:r>
        <w:rPr>
          <w:rFonts w:hint="eastAsia" w:ascii="仿宋_GB2312" w:hAnsi="Verdana" w:eastAsia="仿宋_GB2312"/>
          <w:b/>
          <w:sz w:val="30"/>
          <w:szCs w:val="30"/>
        </w:rPr>
        <w:t>号</w:t>
      </w:r>
    </w:p>
    <w:tbl>
      <w:tblPr>
        <w:tblStyle w:val="8"/>
        <w:tblpPr w:leftFromText="180" w:rightFromText="180" w:vertAnchor="text" w:horzAnchor="margin" w:tblpY="165"/>
        <w:tblW w:w="9210" w:type="dxa"/>
        <w:tblInd w:w="0" w:type="dxa"/>
        <w:tblBorders>
          <w:top w:val="single" w:color="auto" w:sz="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0"/>
      </w:tblGrid>
      <w:tr>
        <w:tblPrEx>
          <w:tblBorders>
            <w:top w:val="single" w:color="auto" w:sz="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9210" w:type="dxa"/>
            <w:tcBorders>
              <w:top w:val="single" w:color="FF0000" w:sz="24" w:space="0"/>
            </w:tcBorders>
          </w:tcPr>
          <w:p>
            <w:pPr>
              <w:contextualSpacing/>
              <w:jc w:val="center"/>
              <w:rPr>
                <w:rFonts w:ascii="仿宋_GB2312" w:hAnsi="Verdana"/>
                <w:b/>
                <w:color w:val="FF0000"/>
                <w:sz w:val="10"/>
                <w:szCs w:val="10"/>
              </w:rPr>
            </w:pPr>
          </w:p>
        </w:tc>
      </w:tr>
    </w:tbl>
    <w:p>
      <w:pPr>
        <w:spacing w:line="600" w:lineRule="exact"/>
        <w:contextualSpacing/>
        <w:jc w:val="center"/>
        <w:rPr>
          <w:rFonts w:hint="eastAsia" w:cs="宋体" w:asciiTheme="minorEastAsia" w:hAnsiTheme="minorEastAsia"/>
          <w:b/>
          <w:kern w:val="0"/>
          <w:sz w:val="44"/>
          <w:szCs w:val="44"/>
        </w:rPr>
      </w:pPr>
      <w:r>
        <w:rPr>
          <w:rFonts w:hint="eastAsia" w:cs="宋体" w:asciiTheme="minorEastAsia" w:hAnsiTheme="minorEastAsia"/>
          <w:b/>
          <w:kern w:val="0"/>
          <w:sz w:val="44"/>
          <w:szCs w:val="44"/>
        </w:rPr>
        <w:t>关于印发《关于建立涉案企业合规第三方监督</w:t>
      </w:r>
    </w:p>
    <w:p>
      <w:pPr>
        <w:spacing w:line="600" w:lineRule="exact"/>
        <w:contextualSpacing/>
        <w:jc w:val="center"/>
        <w:rPr>
          <w:rFonts w:hint="eastAsia" w:cs="宋体" w:asciiTheme="minorEastAsia" w:hAnsiTheme="minorEastAsia"/>
          <w:b/>
          <w:kern w:val="0"/>
          <w:sz w:val="44"/>
          <w:szCs w:val="44"/>
        </w:rPr>
      </w:pPr>
      <w:r>
        <w:rPr>
          <w:rFonts w:hint="eastAsia" w:cs="宋体" w:asciiTheme="minorEastAsia" w:hAnsiTheme="minorEastAsia"/>
          <w:b/>
          <w:kern w:val="0"/>
          <w:sz w:val="44"/>
          <w:szCs w:val="44"/>
        </w:rPr>
        <w:t>评估机制的实施办法（试行）》的通知</w:t>
      </w:r>
    </w:p>
    <w:p>
      <w:pPr>
        <w:spacing w:line="540" w:lineRule="exact"/>
        <w:rPr>
          <w:rFonts w:ascii="仿宋_GB2312" w:hAnsi="宋体" w:eastAsia="仿宋_GB2312" w:cs="宋体"/>
          <w:kern w:val="0"/>
          <w:sz w:val="32"/>
          <w:szCs w:val="32"/>
        </w:rPr>
      </w:pP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32"/>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法治思想，认真落实党中央、国务院支持民营企业改革发展的政策部署，有效惩治预防企业违法犯罪，服务保障经济社会高质量发展，助力推进国家治理体系和治理能力现代化，如东县人民检察院、如东县司法局、如东县财政局、南通市如东生态环境局、如东县国有资产监督管理办公室、国家税务总局如东县税务局、如东县市场监督管理局、如东县工商业联合会研究制定了《关于建立</w:t>
      </w:r>
      <w:r>
        <w:rPr>
          <w:rFonts w:hint="eastAsia" w:ascii="仿宋_GB2312" w:hAnsi="仿宋_GB2312" w:eastAsia="仿宋_GB2312" w:cs="仿宋_GB2312"/>
          <w:sz w:val="32"/>
          <w:szCs w:val="32"/>
          <w:lang w:eastAsia="zh-CN"/>
        </w:rPr>
        <w:t>涉案</w:t>
      </w:r>
      <w:r>
        <w:rPr>
          <w:rFonts w:hint="eastAsia" w:ascii="仿宋_GB2312" w:hAnsi="仿宋_GB2312" w:eastAsia="仿宋_GB2312" w:cs="仿宋_GB2312"/>
          <w:sz w:val="32"/>
          <w:szCs w:val="32"/>
        </w:rPr>
        <w:t>企业合规第三方监督评估机制的实施办法（试行）》，请结合工作实际认真贯彻落实。</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32"/>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如东县人民检察院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如东县司法局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如东县财政局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南通市如东生态环境局</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如东县国有资产监督管理办公室    </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国家税务总局如东县税务局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如东县市场监督管理局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如东县工商业联合会</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40" w:firstLine="632"/>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2021年9月1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spacing w:line="560" w:lineRule="exact"/>
        <w:jc w:val="center"/>
        <w:rPr>
          <w:rFonts w:hint="eastAsia" w:ascii="宋体" w:hAnsi="宋体"/>
          <w:b/>
          <w:sz w:val="44"/>
        </w:rPr>
      </w:pPr>
      <w:r>
        <w:rPr>
          <w:rFonts w:hint="eastAsia" w:ascii="宋体" w:hAnsi="宋体"/>
          <w:b/>
          <w:sz w:val="44"/>
        </w:rPr>
        <w:t>关于建立涉案企业合规第三方监督评估机制</w:t>
      </w:r>
    </w:p>
    <w:p>
      <w:pPr>
        <w:spacing w:line="560" w:lineRule="exact"/>
        <w:jc w:val="center"/>
        <w:rPr>
          <w:rFonts w:hint="eastAsia" w:ascii="宋体" w:hAnsi="宋体"/>
          <w:b/>
          <w:sz w:val="44"/>
        </w:rPr>
      </w:pPr>
      <w:r>
        <w:rPr>
          <w:rFonts w:hint="eastAsia" w:ascii="宋体" w:hAnsi="宋体"/>
          <w:b/>
          <w:sz w:val="44"/>
        </w:rPr>
        <w:t>的实施办法（试行）</w:t>
      </w:r>
    </w:p>
    <w:p>
      <w:pPr>
        <w:ind w:firstLine="632"/>
        <w:rPr>
          <w:rFonts w:ascii="仿宋_GB2312" w:hAnsi="仿宋"/>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sz w:val="32"/>
          <w:szCs w:val="32"/>
        </w:rPr>
        <w:t>为深入贯彻习近平法治思想，认真落实党中央、国务院支持民营企业改革发展的政策部署，根据</w:t>
      </w:r>
      <w:r>
        <w:rPr>
          <w:rFonts w:hint="eastAsia" w:ascii="仿宋_GB2312" w:hAnsi="仿宋_GB2312" w:eastAsia="仿宋_GB2312" w:cs="仿宋_GB2312"/>
          <w:color w:val="000000"/>
          <w:spacing w:val="-6"/>
          <w:sz w:val="32"/>
          <w:szCs w:val="32"/>
        </w:rPr>
        <w:t>《关于建立涉案企业合规第三方监督评估机制的指导意见（试行）》（高检发</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6"/>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6"/>
          <w:sz w:val="32"/>
          <w:szCs w:val="32"/>
        </w:rPr>
        <w:t>6号），</w:t>
      </w:r>
      <w:r>
        <w:rPr>
          <w:rFonts w:hint="eastAsia" w:ascii="仿宋_GB2312" w:hAnsi="仿宋_GB2312" w:eastAsia="仿宋_GB2312" w:cs="仿宋_GB2312"/>
          <w:sz w:val="32"/>
          <w:szCs w:val="32"/>
        </w:rPr>
        <w:t>在企业合规改革试点工作中建立健全涉案企业合规第三方监督评估机制，有效惩治预防企业违法犯罪，结合如东工作实际，制定本实施办法。</w:t>
      </w:r>
    </w:p>
    <w:p>
      <w:pPr>
        <w:pStyle w:val="13"/>
        <w:keepNext w:val="0"/>
        <w:keepLines w:val="0"/>
        <w:pageBreakBefore w:val="0"/>
        <w:numPr>
          <w:ilvl w:val="0"/>
          <w:numId w:val="0"/>
        </w:numPr>
        <w:kinsoku/>
        <w:wordWrap/>
        <w:overflowPunct/>
        <w:topLinePunct w:val="0"/>
        <w:autoSpaceDE/>
        <w:autoSpaceDN/>
        <w:bidi w:val="0"/>
        <w:adjustRightInd/>
        <w:snapToGrid/>
        <w:spacing w:line="560" w:lineRule="exact"/>
        <w:ind w:right="0" w:rightChars="0"/>
        <w:contextualSpacing/>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第一章</w:t>
      </w:r>
      <w:r>
        <w:rPr>
          <w:rFonts w:hint="eastAsia" w:ascii="黑体" w:hAnsi="黑体" w:eastAsia="黑体" w:cs="黑体"/>
          <w:color w:val="000000"/>
          <w:sz w:val="32"/>
          <w:szCs w:val="32"/>
          <w:lang w:val="en-US" w:eastAsia="zh-CN"/>
        </w:rPr>
        <w:t xml:space="preserve"> 总则</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第一条</w:t>
      </w:r>
      <w:r>
        <w:rPr>
          <w:rFonts w:hint="eastAsia" w:ascii="仿宋_GB2312" w:hAnsi="仿宋_GB2312" w:eastAsia="仿宋_GB2312" w:cs="仿宋_GB2312"/>
          <w:color w:val="000000"/>
          <w:spacing w:val="-6"/>
          <w:sz w:val="32"/>
          <w:szCs w:val="32"/>
        </w:rPr>
        <w:t>　涉案企业合规第三方监督评估机制（以下简称第三方机制），是指人民检察院在办理涉企犯罪案件时，对符合企业合规改革试点适用条件的，交由第三方监督评估机制管理委员会（以下简称第三方机制管委会）选任组成的第三方监督评估组织（以下简称第三方组织），对涉案企业的合规承诺进行调查、评估、监督和考察。考察结果作为人民检察院依法处理案件的重要参考。</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第二条</w:t>
      </w:r>
      <w:r>
        <w:rPr>
          <w:rFonts w:hint="eastAsia" w:ascii="仿宋_GB2312" w:hAnsi="仿宋_GB2312" w:eastAsia="仿宋_GB2312" w:cs="仿宋_GB2312"/>
          <w:color w:val="000000"/>
          <w:spacing w:val="-6"/>
          <w:sz w:val="32"/>
          <w:szCs w:val="32"/>
        </w:rPr>
        <w:t>　第三方机制的建立和运行，应当遵循依法有序、公开公正、平等保护、标本兼治的原则。</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第二章  第三方机制管委会的组成和职责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第三条</w:t>
      </w:r>
      <w:r>
        <w:rPr>
          <w:rFonts w:hint="eastAsia" w:ascii="仿宋_GB2312" w:hAnsi="仿宋_GB2312" w:eastAsia="仿宋_GB2312" w:cs="仿宋_GB2312"/>
          <w:color w:val="000000"/>
          <w:spacing w:val="-6"/>
          <w:sz w:val="32"/>
          <w:szCs w:val="32"/>
        </w:rPr>
        <w:t>　如东县人民检察院、</w:t>
      </w:r>
      <w:r>
        <w:rPr>
          <w:rFonts w:hint="eastAsia" w:ascii="仿宋_GB2312" w:hAnsi="仿宋_GB2312" w:eastAsia="仿宋_GB2312" w:cs="仿宋_GB2312"/>
          <w:sz w:val="32"/>
          <w:szCs w:val="32"/>
        </w:rPr>
        <w:t>如东县国有资产监督管理办公室</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如东县财政局</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如东县工商业联合会</w:t>
      </w:r>
      <w:r>
        <w:rPr>
          <w:rFonts w:hint="eastAsia" w:ascii="仿宋_GB2312" w:hAnsi="仿宋_GB2312" w:eastAsia="仿宋_GB2312" w:cs="仿宋_GB2312"/>
          <w:color w:val="000000"/>
          <w:spacing w:val="-6"/>
          <w:sz w:val="32"/>
          <w:szCs w:val="32"/>
        </w:rPr>
        <w:t>会同</w:t>
      </w:r>
      <w:r>
        <w:rPr>
          <w:rFonts w:hint="eastAsia" w:ascii="仿宋_GB2312" w:hAnsi="仿宋_GB2312" w:eastAsia="仿宋_GB2312" w:cs="仿宋_GB2312"/>
          <w:sz w:val="32"/>
          <w:szCs w:val="32"/>
        </w:rPr>
        <w:t>如东县司法局</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南通市如东生态环境局</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国家税务总局如东县税务局</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如东县市场监督管理局</w:t>
      </w:r>
      <w:r>
        <w:rPr>
          <w:rFonts w:hint="eastAsia" w:ascii="仿宋_GB2312" w:hAnsi="仿宋_GB2312" w:eastAsia="仿宋_GB2312" w:cs="仿宋_GB2312"/>
          <w:color w:val="000000"/>
          <w:spacing w:val="-6"/>
          <w:sz w:val="32"/>
          <w:szCs w:val="32"/>
        </w:rPr>
        <w:t>组建第三方机制管委会，</w:t>
      </w:r>
      <w:r>
        <w:rPr>
          <w:rFonts w:hint="eastAsia" w:ascii="仿宋_GB2312" w:hAnsi="仿宋_GB2312" w:eastAsia="仿宋_GB2312" w:cs="仿宋_GB2312"/>
          <w:sz w:val="32"/>
          <w:szCs w:val="32"/>
        </w:rPr>
        <w:t>如东县工商业联合会</w:t>
      </w:r>
      <w:r>
        <w:rPr>
          <w:rFonts w:hint="eastAsia" w:ascii="仿宋_GB2312" w:hAnsi="仿宋_GB2312" w:eastAsia="仿宋_GB2312" w:cs="仿宋_GB2312"/>
          <w:color w:val="000000"/>
          <w:spacing w:val="-6"/>
          <w:sz w:val="32"/>
          <w:szCs w:val="32"/>
        </w:rPr>
        <w:t>负责承担管委会的日常工作，</w:t>
      </w:r>
      <w:r>
        <w:rPr>
          <w:rFonts w:hint="eastAsia" w:ascii="仿宋_GB2312" w:hAnsi="仿宋_GB2312" w:eastAsia="仿宋_GB2312" w:cs="仿宋_GB2312"/>
          <w:sz w:val="32"/>
          <w:szCs w:val="32"/>
        </w:rPr>
        <w:t>如东县国有资产监督管理办公室</w:t>
      </w:r>
      <w:r>
        <w:rPr>
          <w:rFonts w:hint="eastAsia" w:ascii="仿宋_GB2312" w:hAnsi="仿宋_GB2312" w:eastAsia="仿宋_GB2312" w:cs="仿宋_GB2312"/>
          <w:sz w:val="32"/>
          <w:szCs w:val="32"/>
          <w:lang w:eastAsia="zh-CN"/>
        </w:rPr>
        <w:t>、如东县财政局</w:t>
      </w:r>
      <w:r>
        <w:rPr>
          <w:rFonts w:hint="eastAsia" w:ascii="仿宋_GB2312" w:hAnsi="仿宋_GB2312" w:eastAsia="仿宋_GB2312" w:cs="仿宋_GB2312"/>
          <w:color w:val="000000"/>
          <w:spacing w:val="-6"/>
          <w:sz w:val="32"/>
          <w:szCs w:val="32"/>
        </w:rPr>
        <w:t>负责承担管委会中涉及国有企业的日常工作。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第四条</w:t>
      </w:r>
      <w:r>
        <w:rPr>
          <w:rFonts w:hint="eastAsia" w:ascii="仿宋_GB2312" w:hAnsi="仿宋_GB2312" w:eastAsia="仿宋_GB2312" w:cs="仿宋_GB2312"/>
          <w:color w:val="000000"/>
          <w:spacing w:val="-6"/>
          <w:sz w:val="32"/>
          <w:szCs w:val="32"/>
        </w:rPr>
        <w:t>　第三方机制管委会履行下列职责： </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（一）建立第三方机制专业人员名录库，并根据各方意见建议和工作实际进行动态管理；</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（二）负责第三方组织及其成员的日常选任、培训、考核工作，确保其依法依规履行职责；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（三）对选任组成的第三方组织及其成员开展日常监督和巡回检查；</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四）对第三方组织的成员违反本实施办法的规定，或者实施其他违反社会公德、职业伦理的行为，严重损害第三方组织形象或公信力的，及时向有关主管机关、协会等提出惩戒建议，涉嫌违法犯罪的，及时向公安司法机关报案或者举报，并将其列入第三方机制专业人员名录库黑名单；</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16"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6"/>
          <w:sz w:val="32"/>
          <w:szCs w:val="32"/>
        </w:rPr>
        <w:t>（五）统筹协调第三方机制的其他工作。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第五条</w:t>
      </w:r>
      <w:r>
        <w:rPr>
          <w:rFonts w:hint="eastAsia" w:ascii="仿宋_GB2312" w:hAnsi="仿宋_GB2312" w:eastAsia="仿宋_GB2312" w:cs="仿宋_GB2312"/>
          <w:color w:val="000000"/>
          <w:spacing w:val="-6"/>
          <w:sz w:val="32"/>
          <w:szCs w:val="32"/>
        </w:rPr>
        <w:t>　第三方机制管委会各成员单位建立联席会议机制，由如东县人民检察院、</w:t>
      </w:r>
      <w:r>
        <w:rPr>
          <w:rFonts w:hint="eastAsia" w:ascii="仿宋_GB2312" w:hAnsi="仿宋_GB2312" w:eastAsia="仿宋_GB2312" w:cs="仿宋_GB2312"/>
          <w:sz w:val="32"/>
          <w:szCs w:val="32"/>
        </w:rPr>
        <w:t>如东县国有资产监督管理办公室</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如东县财政局</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sz w:val="32"/>
          <w:szCs w:val="32"/>
        </w:rPr>
        <w:t>如东县工商业联合会</w:t>
      </w:r>
      <w:r>
        <w:rPr>
          <w:rFonts w:hint="eastAsia" w:ascii="仿宋_GB2312" w:hAnsi="仿宋_GB2312" w:eastAsia="仿宋_GB2312" w:cs="仿宋_GB2312"/>
          <w:color w:val="000000"/>
          <w:spacing w:val="-6"/>
          <w:sz w:val="32"/>
          <w:szCs w:val="32"/>
        </w:rPr>
        <w:t>负责同志担任召集人，根据工作需要定期或者不定期召开会议，研究有关重大事项和规范性文件，确定阶段性工作重点和措施。</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各成员单位应当按照职责分工，认真落实联席会议确定的工作任务和议定事项，建立健全日常联系、联合调研、信息共享、宣传培训等机制，推动企业合规改革试点和第三方机制相关工作的顺利进行。</w:t>
      </w:r>
    </w:p>
    <w:p>
      <w:pPr>
        <w:pStyle w:val="13"/>
        <w:keepNext w:val="0"/>
        <w:keepLines w:val="0"/>
        <w:pageBreakBefore w:val="0"/>
        <w:numPr>
          <w:ilvl w:val="0"/>
          <w:numId w:val="0"/>
        </w:numPr>
        <w:kinsoku/>
        <w:wordWrap/>
        <w:overflowPunct/>
        <w:topLinePunct w:val="0"/>
        <w:autoSpaceDE/>
        <w:autoSpaceDN/>
        <w:bidi w:val="0"/>
        <w:adjustRightInd/>
        <w:snapToGrid/>
        <w:spacing w:line="560" w:lineRule="exact"/>
        <w:ind w:right="0" w:rightChars="0"/>
        <w:contextualSpacing/>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第三章</w:t>
      </w: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lang w:eastAsia="zh-CN"/>
        </w:rPr>
        <w:t>第三方机制的启动</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第六条</w:t>
      </w:r>
      <w:r>
        <w:rPr>
          <w:rFonts w:hint="eastAsia" w:ascii="仿宋_GB2312" w:hAnsi="仿宋_GB2312" w:eastAsia="仿宋_GB2312" w:cs="仿宋_GB2312"/>
          <w:color w:val="000000"/>
          <w:spacing w:val="-6"/>
          <w:sz w:val="32"/>
          <w:szCs w:val="32"/>
        </w:rPr>
        <w:t>　第三方机制适用于公司、企业等市场主体在生产经营活动中涉及的经济犯罪、职务犯罪等案件，既包括公司、企业等实施的单位犯罪案件，也包括公司、企业实际控制人、经营管理人员、关键技术人员等实施的与生产经营活动密切相关的犯罪案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第七条</w:t>
      </w:r>
      <w:r>
        <w:rPr>
          <w:rFonts w:hint="eastAsia" w:ascii="仿宋_GB2312" w:hAnsi="仿宋_GB2312" w:eastAsia="仿宋_GB2312" w:cs="仿宋_GB2312"/>
          <w:color w:val="000000"/>
          <w:spacing w:val="-6"/>
          <w:sz w:val="32"/>
          <w:szCs w:val="32"/>
        </w:rPr>
        <w:t>　对于同时符合下列条件的涉企犯罪案件，如东县人民检察院可以根据案件情况适用本实施办法：</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（一）涉案企业、个人认罪认罚；</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（二）涉案企业能够正常生产经营，承诺建立或者完善企业合规制度，具备启动第三方机制的基本条件；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（三）涉案企业自愿适用第三方机制。</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第八条</w:t>
      </w:r>
      <w:r>
        <w:rPr>
          <w:rFonts w:hint="eastAsia" w:ascii="仿宋_GB2312" w:hAnsi="仿宋_GB2312" w:eastAsia="仿宋_GB2312" w:cs="仿宋_GB2312"/>
          <w:color w:val="000000"/>
          <w:spacing w:val="-6"/>
          <w:sz w:val="32"/>
          <w:szCs w:val="32"/>
        </w:rPr>
        <w:t>　对于具有下列情形之一的涉企犯罪案件，不适用企业合规试点以及第三方机制：</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（一）个人为进行违法犯罪活动而设立公司、企业的；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（二）公司、企业设立后以实施犯罪为主要活动的；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（三）公司、企业人员盗用单位名义实施犯罪的；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（四）涉嫌危害国家安全犯罪、恐怖活动犯罪的；</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（五）其他不宜适用的情形。</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第九条</w:t>
      </w:r>
      <w:r>
        <w:rPr>
          <w:rFonts w:hint="eastAsia" w:ascii="仿宋_GB2312" w:hAnsi="仿宋_GB2312" w:eastAsia="仿宋_GB2312" w:cs="仿宋_GB2312"/>
          <w:color w:val="000000"/>
          <w:spacing w:val="-6"/>
          <w:sz w:val="32"/>
          <w:szCs w:val="32"/>
        </w:rPr>
        <w:t>　如东县人民检察院在办理涉企犯罪案件时，应当注意审查是否符合企业合规试点以及第三方机制的适用条件，并及时征询涉案企业、个人的意见。涉案企业、个人及其辩护人、诉讼代理人或者其他相关单位、人员提出适用企业合规试点以及第三方机制申请的，如东县人民检察院应当依法受理并进行审查。</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如东县人民检察院经审查认为涉企犯罪案件符合第三方机制适用条件的，可以商请第三方机制管委会启动第三方机制。</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right="0" w:righ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第四章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第三方组织的组成和职责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第十条</w:t>
      </w:r>
      <w:r>
        <w:rPr>
          <w:rFonts w:hint="eastAsia" w:ascii="仿宋_GB2312" w:hAnsi="仿宋_GB2312" w:eastAsia="仿宋_GB2312" w:cs="仿宋_GB2312"/>
          <w:color w:val="000000"/>
          <w:spacing w:val="-6"/>
          <w:sz w:val="32"/>
          <w:szCs w:val="32"/>
        </w:rPr>
        <w:t xml:space="preserve">  第三方机制启动后，第三方机制管委会应当根据案件具体情况以及涉案企业类型，从专业人员名录库中分类随机抽取人员组成第三方组织，并向社会公示。</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三方组织组成人员名单应当报送如东县人民检察院备案。如东县人民检察院或者涉案企业、个人、其他相关单位、人员对选任的第三方组织组成人员提出异议的，第三方机制管委会应当调查核实并视情况做出调整。</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第十一条</w:t>
      </w:r>
      <w:r>
        <w:rPr>
          <w:rFonts w:hint="eastAsia" w:ascii="仿宋_GB2312" w:hAnsi="仿宋_GB2312" w:eastAsia="仿宋_GB2312" w:cs="仿宋_GB2312"/>
          <w:color w:val="000000"/>
          <w:spacing w:val="-6"/>
          <w:sz w:val="32"/>
          <w:szCs w:val="32"/>
        </w:rPr>
        <w:t>　第三方组织及其组成人员应当履行下列义务：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（一）遵纪守法，勤勉尽责，客观中立；</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（二）不得泄露履职过程中知悉的国家秘密、商业秘密和个人隐私；</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（三）不得利用履职便利，索取、收受贿赂或者非法侵占涉案企业、个人的财物；</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（四）不得利用履职便利，干扰涉案企业正常生产经营活动。</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第三方组织组成人员系律师、注册会计师、税务师（注册税务师）等中介组织人员的，在履行第三方监督评估职责期间不得违反规定接受可能有利益关系的业务；在履行第三方监督评估职责结束后一年以内，上述人员及其所在中介组织不得接受涉案企业、个人或者其他有利益关系的单位、人员的业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第十二条</w:t>
      </w:r>
      <w:r>
        <w:rPr>
          <w:rFonts w:hint="eastAsia" w:ascii="仿宋_GB2312" w:hAnsi="仿宋_GB2312" w:eastAsia="仿宋_GB2312" w:cs="仿宋_GB2312"/>
          <w:color w:val="000000"/>
          <w:spacing w:val="-6"/>
          <w:sz w:val="32"/>
          <w:szCs w:val="32"/>
        </w:rPr>
        <w:t xml:space="preserve">  第三方组织应当要求涉案企业提交专项或者多项合规计划，并明确合规计划的承诺完成时限。</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涉案企业提交的合规计划，主要围绕与企业涉嫌犯罪有密切联系的企业内部治理结构、规章制度、人员管理等方面存在的问题，制定可行的合规管理规范，构建有效的合规组织体系，健全合规风险防范报告机制，弥补企业制度建设和监督管理漏洞，防止再次发生相同或者类似的违法犯罪。</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第十三条</w:t>
      </w:r>
      <w:r>
        <w:rPr>
          <w:rFonts w:hint="eastAsia" w:ascii="仿宋_GB2312" w:hAnsi="仿宋_GB2312" w:eastAsia="仿宋_GB2312" w:cs="仿宋_GB2312"/>
          <w:color w:val="000000"/>
          <w:spacing w:val="-6"/>
          <w:sz w:val="32"/>
          <w:szCs w:val="32"/>
        </w:rPr>
        <w:t>　第三方组织应当对涉案企业合规计划的可行性、有效性与全面性进行审查，提出修改完善的意见建议，并根据案件具体情况和涉案企业承诺履行的期限，确定合规考察期限。</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在合规考察期内，第三方组织可以定期或者不定期对涉案企业合规计划履行情况进行检查和评估，可以要求涉案企业定期书面报告合规计划的执行情况，同时抄送如东县人民检察院。第三方组织发现涉案企业或其人员尚未被办案机关掌握的犯罪事实或者新实施的犯罪行为，应当中止第三方监督评估程序，并向如东县人民检察院报告。</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第十四条</w:t>
      </w:r>
      <w:r>
        <w:rPr>
          <w:rFonts w:hint="eastAsia" w:ascii="仿宋_GB2312" w:hAnsi="仿宋_GB2312" w:eastAsia="仿宋_GB2312" w:cs="仿宋_GB2312"/>
          <w:color w:val="000000"/>
          <w:spacing w:val="-6"/>
          <w:sz w:val="32"/>
          <w:szCs w:val="32"/>
        </w:rPr>
        <w:t>　第三方组织在合规考察期届满后，应当对涉案企业的合规计划完成情况进行全面检查、评估和考核，并制作合规考察书面报告，报送第三方机制管委会和如东县人民检察院。</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第十五条</w:t>
      </w:r>
      <w:r>
        <w:rPr>
          <w:rFonts w:hint="eastAsia" w:ascii="仿宋_GB2312" w:hAnsi="仿宋_GB2312" w:eastAsia="仿宋_GB2312" w:cs="仿宋_GB2312"/>
          <w:color w:val="000000"/>
          <w:spacing w:val="-6"/>
          <w:sz w:val="32"/>
          <w:szCs w:val="32"/>
        </w:rPr>
        <w:t>　第三方组织及其组成人员在合规考察期内，可以针对涉案企业合规计划、定期书面报告开展必要的检查、评估，涉案企业应当予以配合。</w:t>
      </w:r>
    </w:p>
    <w:p>
      <w:pPr>
        <w:pStyle w:val="2"/>
        <w:rPr>
          <w:rFonts w:hint="eastAsia"/>
        </w:rPr>
      </w:pP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right="0" w:righ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第五章</w:t>
      </w:r>
      <w:r>
        <w:rPr>
          <w:rFonts w:hint="eastAsia" w:ascii="黑体" w:hAnsi="黑体" w:eastAsia="黑体" w:cs="黑体"/>
          <w:color w:val="000000"/>
          <w:sz w:val="32"/>
          <w:szCs w:val="32"/>
          <w:lang w:val="en-US" w:eastAsia="zh-CN"/>
        </w:rPr>
        <w:t xml:space="preserve">   第三</w:t>
      </w:r>
      <w:r>
        <w:rPr>
          <w:rFonts w:hint="eastAsia" w:ascii="黑体" w:hAnsi="黑体" w:eastAsia="黑体" w:cs="黑体"/>
          <w:color w:val="000000"/>
          <w:sz w:val="32"/>
          <w:szCs w:val="32"/>
          <w:lang w:eastAsia="zh-CN"/>
        </w:rPr>
        <w:t>方机制运行中人民检察院的职责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第十六条</w:t>
      </w:r>
      <w:r>
        <w:rPr>
          <w:rFonts w:hint="eastAsia" w:ascii="仿宋_GB2312" w:hAnsi="仿宋_GB2312" w:eastAsia="仿宋_GB2312" w:cs="仿宋_GB2312"/>
          <w:color w:val="000000"/>
          <w:spacing w:val="-6"/>
          <w:sz w:val="32"/>
          <w:szCs w:val="32"/>
        </w:rPr>
        <w:t>　如东县人民检察院在办理涉企犯罪案件过程中，应当将第三方组织合规考察书面报告、涉案企业合规计划、定期书面报告等合规材料，作为依法作出批准或者不批准逮捕、起诉或者不起诉以及是否变更强制措施等决定，提出量刑建议或者检察建议、检察意见的重要参考。</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如东县人民检察院发现涉案企业在预防违法犯罪方面制度不健全、不落实，管理不完善，存在违法犯罪隐患，需要及时消除的，可以结合合规材料，向涉案企业提出检察建议。</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如东县人民检察院对涉案企业作出不起诉决定，认为需要给予行政处罚、处分或者没收其违法所得的，应当结合合规材料，依法向有关主管机关提出检察意见。</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如东县人民检察院通过第三方机制，发现涉案企业或其人员存在其他违法违规情形的，应当依法将案件线索移送有关主管机关、公安机关或者纪检监察机关处理。</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第十七条</w:t>
      </w:r>
      <w:r>
        <w:rPr>
          <w:rFonts w:hint="eastAsia" w:ascii="仿宋_GB2312" w:hAnsi="仿宋_GB2312" w:eastAsia="仿宋_GB2312" w:cs="仿宋_GB2312"/>
          <w:color w:val="000000"/>
          <w:spacing w:val="-6"/>
          <w:sz w:val="32"/>
          <w:szCs w:val="32"/>
        </w:rPr>
        <w:t>　如东县人民检察院对于拟作不批准逮捕、不起诉、变更强制措施等决定的涉企犯罪案件，可以根据《人民检察院审查案件听证工作规定》召开听证会，并邀请第三方组织组成人员到会发表意见。</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第十八条</w:t>
      </w:r>
      <w:r>
        <w:rPr>
          <w:rFonts w:hint="eastAsia" w:ascii="仿宋_GB2312" w:hAnsi="仿宋_GB2312" w:eastAsia="仿宋_GB2312" w:cs="仿宋_GB2312"/>
          <w:color w:val="000000"/>
          <w:spacing w:val="-6"/>
          <w:sz w:val="32"/>
          <w:szCs w:val="32"/>
        </w:rPr>
        <w:t>　如东县人民检察院应当履行下列职责：</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（一）对第三方组织组成人员名单进行备案审查，发现组成人员存在明显不适当情形的，及时向第三方机制管委会提出意见建议；</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（二）对涉案企业合规计划、定期书面报告进行审查，向第三方组织提出意见建议；</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（三）对第三方组织合规考察书面报告进行审查，向第三方机制管委会提出意见建议，必要时开展调查核实工作；</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（四）依法办理涉案企业、个人及其辩护人、诉讼代理人或者其他相关单位、人员在第三方机制运行期间提出的申诉、控告或者有关申请、要求；</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（五）刑事诉讼法、人民检察院刑事诉讼规则等法律、司法解释规定的其他法定职责。</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16" w:firstLineChars="200"/>
        <w:textAlignment w:val="auto"/>
        <w:outlineLvl w:val="9"/>
        <w:rPr>
          <w:rFonts w:hint="eastAsia" w:ascii="仿宋_GB2312" w:hAnsi="仿宋_GB2312" w:eastAsia="仿宋_GB2312" w:cs="仿宋_GB2312"/>
          <w:color w:val="000000"/>
          <w:spacing w:val="-6"/>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right="0" w:rightChars="0"/>
        <w:jc w:val="center"/>
        <w:textAlignment w:val="auto"/>
        <w:outlineLvl w:val="9"/>
        <w:rPr>
          <w:rFonts w:hint="eastAsia" w:ascii="黑体" w:hAnsi="黑体" w:eastAsia="黑体" w:cs="黑体"/>
          <w:color w:val="000000"/>
          <w:spacing w:val="-6"/>
          <w:sz w:val="32"/>
          <w:szCs w:val="32"/>
          <w:lang w:eastAsia="zh-CN"/>
        </w:rPr>
      </w:pPr>
      <w:r>
        <w:rPr>
          <w:rFonts w:hint="eastAsia" w:ascii="黑体" w:hAnsi="黑体" w:eastAsia="黑体" w:cs="黑体"/>
          <w:color w:val="000000"/>
          <w:spacing w:val="-6"/>
          <w:sz w:val="32"/>
          <w:szCs w:val="32"/>
          <w:lang w:eastAsia="zh-CN"/>
        </w:rPr>
        <w:t>第六章</w:t>
      </w:r>
      <w:r>
        <w:rPr>
          <w:rFonts w:hint="eastAsia" w:ascii="黑体" w:hAnsi="黑体" w:eastAsia="黑体" w:cs="黑体"/>
          <w:color w:val="000000"/>
          <w:spacing w:val="-6"/>
          <w:sz w:val="32"/>
          <w:szCs w:val="32"/>
          <w:lang w:val="en-US" w:eastAsia="zh-CN"/>
        </w:rPr>
        <w:t xml:space="preserve">  第三方机制运行中涉案企业或其人员的权利及义务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第十九条</w:t>
      </w:r>
      <w:r>
        <w:rPr>
          <w:rFonts w:hint="eastAsia" w:ascii="仿宋_GB2312" w:hAnsi="仿宋_GB2312" w:eastAsia="仿宋_GB2312" w:cs="仿宋_GB2312"/>
          <w:color w:val="000000"/>
          <w:spacing w:val="-6"/>
          <w:sz w:val="32"/>
          <w:szCs w:val="32"/>
        </w:rPr>
        <w:t>　涉案企业或其人员在第三方机制运行期间，认为第三方组织或其组成人员存在行为不当或者涉嫌违法犯罪的，可以向第三方机制管委会反映或者提出异议，或者向如东县人民检察院提出申诉、控告。</w:t>
      </w:r>
    </w:p>
    <w:p>
      <w:pPr>
        <w:keepNext w:val="0"/>
        <w:keepLines w:val="0"/>
        <w:pageBreakBefore w:val="0"/>
        <w:widowControl/>
        <w:kinsoku/>
        <w:wordWrap/>
        <w:overflowPunct/>
        <w:topLinePunct w:val="0"/>
        <w:autoSpaceDE/>
        <w:autoSpaceDN/>
        <w:bidi w:val="0"/>
        <w:adjustRightInd/>
        <w:snapToGrid/>
        <w:spacing w:line="560" w:lineRule="exact"/>
        <w:ind w:right="0" w:rightChars="0" w:firstLine="616" w:firstLineChars="200"/>
        <w:jc w:val="left"/>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涉案企业及其人员应当按照时限要求认真履行合规计划，不得拒绝履行或者变相不履行合规计划、拒不配合第三方组织合规考察或者实施其他严重违反合规计划的行为。</w:t>
      </w:r>
    </w:p>
    <w:p>
      <w:pPr>
        <w:pStyle w:val="2"/>
        <w:rPr>
          <w:rFonts w:hint="eastAsia"/>
        </w:rPr>
      </w:pPr>
    </w:p>
    <w:p>
      <w:pPr>
        <w:pStyle w:val="13"/>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pacing w:val="-6"/>
          <w:sz w:val="32"/>
          <w:szCs w:val="32"/>
          <w:lang w:eastAsia="zh-CN"/>
        </w:rPr>
        <w:t>第七章</w:t>
      </w: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附 则</w:t>
      </w:r>
    </w:p>
    <w:p>
      <w:pPr>
        <w:keepNext w:val="0"/>
        <w:keepLines w:val="0"/>
        <w:pageBreakBefore w:val="0"/>
        <w:widowControl/>
        <w:kinsoku/>
        <w:wordWrap/>
        <w:overflowPunct/>
        <w:topLinePunct w:val="0"/>
        <w:autoSpaceDE/>
        <w:autoSpaceDN/>
        <w:bidi w:val="0"/>
        <w:adjustRightInd/>
        <w:snapToGrid/>
        <w:spacing w:line="560" w:lineRule="exact"/>
        <w:ind w:right="0" w:rightChars="0" w:firstLine="619" w:firstLineChars="200"/>
        <w:textAlignment w:val="auto"/>
        <w:outlineLvl w:val="9"/>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bCs/>
          <w:color w:val="000000"/>
          <w:spacing w:val="-6"/>
          <w:sz w:val="32"/>
          <w:szCs w:val="32"/>
        </w:rPr>
        <w:t>第二十条</w:t>
      </w:r>
      <w:r>
        <w:rPr>
          <w:rFonts w:hint="eastAsia" w:ascii="仿宋_GB2312" w:hAnsi="仿宋_GB2312" w:eastAsia="仿宋_GB2312" w:cs="仿宋_GB2312"/>
          <w:color w:val="000000"/>
          <w:spacing w:val="-6"/>
          <w:sz w:val="32"/>
          <w:szCs w:val="32"/>
        </w:rPr>
        <w:t>　本实施办法由</w:t>
      </w:r>
      <w:r>
        <w:rPr>
          <w:rFonts w:hint="eastAsia" w:ascii="仿宋_GB2312" w:hAnsi="仿宋_GB2312" w:eastAsia="仿宋_GB2312" w:cs="仿宋_GB2312"/>
          <w:sz w:val="32"/>
          <w:szCs w:val="32"/>
        </w:rPr>
        <w:t>如东县人民检察院、如东县司法局、如东县财政局、南通市如东生态环境局、如东县国有资产监督管理办公室、国家税务总局如东县税务局、如东县市场监督管理局、如东县工商业联合会</w:t>
      </w:r>
      <w:r>
        <w:rPr>
          <w:rFonts w:hint="eastAsia" w:ascii="仿宋_GB2312" w:hAnsi="仿宋_GB2312" w:eastAsia="仿宋_GB2312" w:cs="仿宋_GB2312"/>
          <w:color w:val="000000"/>
          <w:spacing w:val="-6"/>
          <w:sz w:val="32"/>
          <w:szCs w:val="32"/>
        </w:rPr>
        <w:t>负责解释，自印发之日起施行。</w:t>
      </w: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bookmarkStart w:id="0" w:name="_GoBack"/>
      <w:bookmarkEnd w:id="0"/>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contextualSpacing/>
        <w:textAlignment w:val="auto"/>
        <w:outlineLvl w:val="9"/>
        <w:rPr>
          <w:rFonts w:hint="eastAsia" w:ascii="仿宋_GB2312" w:hAnsi="仿宋_GB2312" w:eastAsia="仿宋_GB2312" w:cs="仿宋_GB2312"/>
          <w:sz w:val="32"/>
          <w:szCs w:val="32"/>
        </w:rPr>
      </w:pPr>
    </w:p>
    <w:p>
      <w:pPr>
        <w:jc w:val="center"/>
        <w:rPr>
          <w:rFonts w:ascii="黑体" w:hAnsi="黑体" w:eastAsia="黑体" w:cs="黑体"/>
          <w:sz w:val="44"/>
          <w:szCs w:val="44"/>
        </w:rPr>
      </w:pPr>
      <w:r>
        <w:rPr>
          <w:rFonts w:hint="eastAsia" w:ascii="黑体" w:hAnsi="黑体" w:eastAsia="黑体" w:cs="黑体"/>
          <w:sz w:val="44"/>
          <w:szCs w:val="44"/>
        </w:rPr>
        <w:t>如东县涉案企业合规第三方监督评估机制专业人员名录库</w:t>
      </w:r>
    </w:p>
    <w:tbl>
      <w:tblPr>
        <w:tblStyle w:val="8"/>
        <w:tblpPr w:leftFromText="180" w:rightFromText="180" w:vertAnchor="text" w:horzAnchor="page" w:tblpX="1947" w:tblpY="615"/>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姓名</w:t>
            </w:r>
          </w:p>
        </w:tc>
        <w:tc>
          <w:tcPr>
            <w:tcW w:w="6095" w:type="dxa"/>
            <w:vAlign w:val="center"/>
          </w:tcPr>
          <w:p>
            <w:pPr>
              <w:jc w:val="center"/>
              <w:rPr>
                <w:rFonts w:ascii="仿宋" w:hAnsi="仿宋" w:eastAsia="仿宋" w:cs="仿宋"/>
                <w:sz w:val="32"/>
                <w:szCs w:val="32"/>
              </w:rPr>
            </w:pPr>
            <w:r>
              <w:rPr>
                <w:rFonts w:hint="eastAsia" w:ascii="仿宋" w:hAnsi="仿宋" w:eastAsia="仿宋" w:cs="仿宋"/>
                <w:sz w:val="32"/>
                <w:szCs w:val="32"/>
              </w:rPr>
              <w:t>职务（职级/职称）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顾艳玲</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县法律援助中心律师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缪德秀</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县法律援助中心律师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张维维</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县法律援助中心律师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周  军</w:t>
            </w:r>
          </w:p>
        </w:tc>
        <w:tc>
          <w:tcPr>
            <w:tcW w:w="6095" w:type="dxa"/>
            <w:vAlign w:val="center"/>
          </w:tcPr>
          <w:p>
            <w:pPr>
              <w:jc w:val="center"/>
              <w:rPr>
                <w:rFonts w:ascii="仿宋" w:hAnsi="仿宋" w:eastAsia="仿宋" w:cs="仿宋"/>
                <w:sz w:val="32"/>
                <w:szCs w:val="32"/>
              </w:rPr>
            </w:pPr>
            <w:r>
              <w:rPr>
                <w:rFonts w:hint="eastAsia" w:ascii="仿宋" w:hAnsi="仿宋" w:eastAsia="仿宋" w:cs="仿宋"/>
                <w:sz w:val="24"/>
                <w:szCs w:val="32"/>
              </w:rPr>
              <w:t>县财政局会计科长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周  军</w:t>
            </w:r>
          </w:p>
        </w:tc>
        <w:tc>
          <w:tcPr>
            <w:tcW w:w="6095" w:type="dxa"/>
            <w:vAlign w:val="center"/>
          </w:tcPr>
          <w:p>
            <w:pPr>
              <w:jc w:val="center"/>
              <w:rPr>
                <w:rFonts w:ascii="仿宋" w:hAnsi="仿宋" w:eastAsia="仿宋" w:cs="仿宋"/>
                <w:sz w:val="24"/>
              </w:rPr>
            </w:pPr>
            <w:r>
              <w:rPr>
                <w:rFonts w:hint="eastAsia" w:ascii="仿宋" w:hAnsi="仿宋" w:eastAsia="仿宋" w:cs="仿宋"/>
                <w:sz w:val="24"/>
                <w:szCs w:val="32"/>
              </w:rPr>
              <w:t>县财政局</w:t>
            </w:r>
            <w:r>
              <w:rPr>
                <w:rFonts w:hint="eastAsia" w:ascii="仿宋" w:hAnsi="仿宋" w:eastAsia="仿宋" w:cs="仿宋"/>
                <w:sz w:val="24"/>
              </w:rPr>
              <w:t>行财科长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王赞华</w:t>
            </w:r>
          </w:p>
        </w:tc>
        <w:tc>
          <w:tcPr>
            <w:tcW w:w="6095" w:type="dxa"/>
            <w:vAlign w:val="center"/>
          </w:tcPr>
          <w:p>
            <w:pPr>
              <w:jc w:val="center"/>
              <w:rPr>
                <w:rFonts w:ascii="仿宋" w:hAnsi="仿宋" w:eastAsia="仿宋" w:cs="仿宋"/>
                <w:sz w:val="24"/>
              </w:rPr>
            </w:pPr>
            <w:r>
              <w:rPr>
                <w:rFonts w:hint="eastAsia" w:ascii="仿宋" w:hAnsi="仿宋" w:eastAsia="仿宋" w:cs="仿宋"/>
                <w:sz w:val="24"/>
                <w:szCs w:val="32"/>
              </w:rPr>
              <w:t>县财政局高</w:t>
            </w:r>
            <w:r>
              <w:rPr>
                <w:rFonts w:hint="eastAsia" w:ascii="仿宋" w:hAnsi="仿宋" w:eastAsia="仿宋" w:cs="仿宋"/>
                <w:sz w:val="24"/>
              </w:rPr>
              <w:t>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 xml:space="preserve">石相梅    </w:t>
            </w:r>
          </w:p>
        </w:tc>
        <w:tc>
          <w:tcPr>
            <w:tcW w:w="6095" w:type="dxa"/>
            <w:vAlign w:val="center"/>
          </w:tcPr>
          <w:p>
            <w:pPr>
              <w:jc w:val="center"/>
              <w:rPr>
                <w:rFonts w:ascii="仿宋" w:hAnsi="仿宋" w:eastAsia="仿宋" w:cs="仿宋"/>
                <w:szCs w:val="21"/>
              </w:rPr>
            </w:pPr>
            <w:r>
              <w:rPr>
                <w:rFonts w:hint="eastAsia" w:ascii="仿宋" w:hAnsi="仿宋" w:eastAsia="仿宋" w:cs="仿宋"/>
                <w:sz w:val="24"/>
              </w:rPr>
              <w:t xml:space="preserve">南通市如东生态环境监测站站长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 xml:space="preserve">姚丽华  </w:t>
            </w:r>
          </w:p>
        </w:tc>
        <w:tc>
          <w:tcPr>
            <w:tcW w:w="6095" w:type="dxa"/>
            <w:vAlign w:val="center"/>
          </w:tcPr>
          <w:p>
            <w:pPr>
              <w:jc w:val="center"/>
              <w:rPr>
                <w:rFonts w:ascii="仿宋" w:hAnsi="仿宋" w:eastAsia="仿宋" w:cs="仿宋"/>
                <w:szCs w:val="21"/>
              </w:rPr>
            </w:pPr>
            <w:r>
              <w:rPr>
                <w:rFonts w:hint="eastAsia" w:ascii="仿宋" w:hAnsi="仿宋" w:eastAsia="仿宋" w:cs="仿宋"/>
                <w:sz w:val="24"/>
              </w:rPr>
              <w:t xml:space="preserve">南通市如东生态环境局法宣科科长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 xml:space="preserve">高  琳  </w:t>
            </w:r>
          </w:p>
        </w:tc>
        <w:tc>
          <w:tcPr>
            <w:tcW w:w="6095" w:type="dxa"/>
            <w:vAlign w:val="center"/>
          </w:tcPr>
          <w:p>
            <w:pPr>
              <w:jc w:val="center"/>
              <w:rPr>
                <w:rFonts w:ascii="仿宋" w:hAnsi="仿宋" w:eastAsia="仿宋" w:cs="仿宋"/>
                <w:szCs w:val="21"/>
              </w:rPr>
            </w:pPr>
            <w:r>
              <w:rPr>
                <w:rFonts w:hint="eastAsia" w:ascii="仿宋" w:hAnsi="仿宋" w:eastAsia="仿宋" w:cs="仿宋"/>
                <w:sz w:val="24"/>
              </w:rPr>
              <w:t xml:space="preserve">南通市如东生态环境综合行政执法三局执法二科科长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 xml:space="preserve">陈  铭 </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县税务局法制股副股长（一级行政执法员）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沈  林</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县税务局四级高级主办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纪艳霞</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县税务局一级行政执法员（公职律师）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施亚辉</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县市监局综合指挥中心主任（副科职）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王小东</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县市监局质量科长（二级主办）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何建娟</w:t>
            </w:r>
          </w:p>
        </w:tc>
        <w:tc>
          <w:tcPr>
            <w:tcW w:w="6095" w:type="dxa"/>
            <w:vAlign w:val="center"/>
          </w:tcPr>
          <w:p>
            <w:pPr>
              <w:jc w:val="center"/>
              <w:rPr>
                <w:rFonts w:ascii="仿宋" w:hAnsi="仿宋" w:eastAsia="仿宋" w:cs="仿宋"/>
                <w:sz w:val="24"/>
              </w:rPr>
            </w:pPr>
            <w:r>
              <w:rPr>
                <w:rFonts w:hint="eastAsia" w:ascii="仿宋" w:hAnsi="仿宋" w:eastAsia="仿宋" w:cs="仿宋"/>
                <w:sz w:val="24"/>
              </w:rPr>
              <w:t>县市监局知识产权科长（一级科员）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高  军</w:t>
            </w:r>
          </w:p>
        </w:tc>
        <w:tc>
          <w:tcPr>
            <w:tcW w:w="6095" w:type="dxa"/>
            <w:vAlign w:val="center"/>
          </w:tcPr>
          <w:p>
            <w:pPr>
              <w:jc w:val="center"/>
              <w:rPr>
                <w:rFonts w:ascii="仿宋" w:hAnsi="仿宋" w:eastAsia="仿宋" w:cs="仿宋"/>
                <w:sz w:val="24"/>
              </w:rPr>
            </w:pPr>
            <w:r>
              <w:rPr>
                <w:rFonts w:hint="eastAsia" w:ascii="仿宋" w:hAnsi="仿宋" w:eastAsia="仿宋" w:cs="仿宋"/>
                <w:sz w:val="24"/>
              </w:rPr>
              <w:t>南通大东有限公司董事长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王咸华</w:t>
            </w:r>
          </w:p>
        </w:tc>
        <w:tc>
          <w:tcPr>
            <w:tcW w:w="6095" w:type="dxa"/>
            <w:vAlign w:val="center"/>
          </w:tcPr>
          <w:p>
            <w:pPr>
              <w:jc w:val="center"/>
              <w:rPr>
                <w:rFonts w:ascii="仿宋" w:hAnsi="仿宋" w:eastAsia="仿宋" w:cs="仿宋"/>
                <w:sz w:val="24"/>
              </w:rPr>
            </w:pPr>
            <w:r>
              <w:rPr>
                <w:rFonts w:hint="eastAsia" w:ascii="仿宋" w:hAnsi="仿宋" w:eastAsia="仿宋" w:cs="仿宋"/>
                <w:sz w:val="24"/>
              </w:rPr>
              <w:t>江苏恒辉安防股份有限公司董事长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rPr>
                <w:rFonts w:ascii="仿宋" w:hAnsi="仿宋" w:eastAsia="仿宋" w:cs="仿宋"/>
                <w:sz w:val="32"/>
                <w:szCs w:val="32"/>
              </w:rPr>
            </w:pPr>
            <w:r>
              <w:rPr>
                <w:rFonts w:hint="eastAsia" w:ascii="仿宋" w:hAnsi="仿宋" w:eastAsia="仿宋" w:cs="仿宋"/>
                <w:sz w:val="32"/>
                <w:szCs w:val="32"/>
              </w:rPr>
              <w:t>沈煜婷</w:t>
            </w:r>
          </w:p>
        </w:tc>
        <w:tc>
          <w:tcPr>
            <w:tcW w:w="6095" w:type="dxa"/>
            <w:vAlign w:val="center"/>
          </w:tcPr>
          <w:p>
            <w:pPr>
              <w:jc w:val="center"/>
              <w:rPr>
                <w:rFonts w:ascii="仿宋" w:hAnsi="仿宋" w:eastAsia="仿宋" w:cs="仿宋"/>
                <w:sz w:val="24"/>
              </w:rPr>
            </w:pPr>
            <w:r>
              <w:rPr>
                <w:rFonts w:hint="eastAsia" w:ascii="仿宋" w:hAnsi="仿宋" w:eastAsia="仿宋" w:cs="仿宋"/>
                <w:sz w:val="24"/>
              </w:rPr>
              <w:t>江苏海宝电池科技有限公司董事长</w:t>
            </w:r>
          </w:p>
        </w:tc>
      </w:tr>
    </w:tbl>
    <w:p>
      <w:pPr>
        <w:pStyle w:val="1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contextualSpacing/>
        <w:textAlignment w:val="auto"/>
        <w:outlineLvl w:val="9"/>
        <w:rPr>
          <w:rFonts w:hint="eastAsia" w:ascii="仿宋_GB2312" w:hAnsi="仿宋_GB2312" w:eastAsia="仿宋_GB2312" w:cs="仿宋_GB2312"/>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16032"/>
    </w:sdtPr>
    <w:sdtContent>
      <w:p>
        <w:pPr>
          <w:pStyle w:val="5"/>
          <w:jc w:val="center"/>
        </w:pPr>
        <w:r>
          <w:fldChar w:fldCharType="begin"/>
        </w:r>
        <w:r>
          <w:instrText xml:space="preserve"> PAGE   \* MERGEFORMAT </w:instrText>
        </w:r>
        <w:r>
          <w:fldChar w:fldCharType="separate"/>
        </w:r>
        <w:r>
          <w:rPr>
            <w:lang w:val="zh-CN"/>
          </w:rPr>
          <w:t>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9D"/>
    <w:rsid w:val="000008B3"/>
    <w:rsid w:val="00017933"/>
    <w:rsid w:val="0002649F"/>
    <w:rsid w:val="00033CE5"/>
    <w:rsid w:val="00034BEC"/>
    <w:rsid w:val="00074B04"/>
    <w:rsid w:val="0009620C"/>
    <w:rsid w:val="000A31BE"/>
    <w:rsid w:val="000C0C5B"/>
    <w:rsid w:val="000C5D14"/>
    <w:rsid w:val="001062DF"/>
    <w:rsid w:val="0010663C"/>
    <w:rsid w:val="00114C70"/>
    <w:rsid w:val="0012388E"/>
    <w:rsid w:val="00135190"/>
    <w:rsid w:val="00153052"/>
    <w:rsid w:val="00153685"/>
    <w:rsid w:val="00155892"/>
    <w:rsid w:val="0016337C"/>
    <w:rsid w:val="001711F7"/>
    <w:rsid w:val="00171B2A"/>
    <w:rsid w:val="00176204"/>
    <w:rsid w:val="001925BD"/>
    <w:rsid w:val="001B065E"/>
    <w:rsid w:val="001C27A4"/>
    <w:rsid w:val="001C4435"/>
    <w:rsid w:val="001C73E5"/>
    <w:rsid w:val="001C772B"/>
    <w:rsid w:val="001E54A9"/>
    <w:rsid w:val="001F2665"/>
    <w:rsid w:val="001F3424"/>
    <w:rsid w:val="00200662"/>
    <w:rsid w:val="00201216"/>
    <w:rsid w:val="00210707"/>
    <w:rsid w:val="0021349D"/>
    <w:rsid w:val="002207F0"/>
    <w:rsid w:val="002234B5"/>
    <w:rsid w:val="002264F1"/>
    <w:rsid w:val="0023200C"/>
    <w:rsid w:val="00234F2C"/>
    <w:rsid w:val="002509A0"/>
    <w:rsid w:val="00253798"/>
    <w:rsid w:val="0025419B"/>
    <w:rsid w:val="00254F9E"/>
    <w:rsid w:val="00272B2E"/>
    <w:rsid w:val="0028110C"/>
    <w:rsid w:val="002872E3"/>
    <w:rsid w:val="002A54CD"/>
    <w:rsid w:val="002A5D71"/>
    <w:rsid w:val="002C27C1"/>
    <w:rsid w:val="002D4B7C"/>
    <w:rsid w:val="002F01F6"/>
    <w:rsid w:val="00354DE2"/>
    <w:rsid w:val="00372CFD"/>
    <w:rsid w:val="003760E5"/>
    <w:rsid w:val="00377012"/>
    <w:rsid w:val="00393DE9"/>
    <w:rsid w:val="003B72B5"/>
    <w:rsid w:val="003D4431"/>
    <w:rsid w:val="003E143A"/>
    <w:rsid w:val="003F1BE0"/>
    <w:rsid w:val="003F3397"/>
    <w:rsid w:val="003F4D4C"/>
    <w:rsid w:val="003F5EAB"/>
    <w:rsid w:val="004117BE"/>
    <w:rsid w:val="004157FF"/>
    <w:rsid w:val="00430346"/>
    <w:rsid w:val="0043103D"/>
    <w:rsid w:val="004477E5"/>
    <w:rsid w:val="004547EF"/>
    <w:rsid w:val="0046669F"/>
    <w:rsid w:val="004702B0"/>
    <w:rsid w:val="00483B54"/>
    <w:rsid w:val="00490290"/>
    <w:rsid w:val="004A6ED4"/>
    <w:rsid w:val="004B4354"/>
    <w:rsid w:val="004B7AB5"/>
    <w:rsid w:val="004D5D63"/>
    <w:rsid w:val="004E3D2A"/>
    <w:rsid w:val="004F0DFB"/>
    <w:rsid w:val="004F5A3C"/>
    <w:rsid w:val="004F5B3D"/>
    <w:rsid w:val="0050148E"/>
    <w:rsid w:val="00501643"/>
    <w:rsid w:val="005208EE"/>
    <w:rsid w:val="00531115"/>
    <w:rsid w:val="00531BA2"/>
    <w:rsid w:val="00577871"/>
    <w:rsid w:val="00585050"/>
    <w:rsid w:val="005A54CE"/>
    <w:rsid w:val="005A6605"/>
    <w:rsid w:val="005B46C4"/>
    <w:rsid w:val="005B7814"/>
    <w:rsid w:val="005E093D"/>
    <w:rsid w:val="005F7882"/>
    <w:rsid w:val="00601A28"/>
    <w:rsid w:val="00610DFB"/>
    <w:rsid w:val="0061330C"/>
    <w:rsid w:val="00620147"/>
    <w:rsid w:val="00627049"/>
    <w:rsid w:val="006560D2"/>
    <w:rsid w:val="006808DB"/>
    <w:rsid w:val="006B03D1"/>
    <w:rsid w:val="006B20C9"/>
    <w:rsid w:val="006D756D"/>
    <w:rsid w:val="006F3054"/>
    <w:rsid w:val="006F3756"/>
    <w:rsid w:val="00702302"/>
    <w:rsid w:val="0071098D"/>
    <w:rsid w:val="00717575"/>
    <w:rsid w:val="00754983"/>
    <w:rsid w:val="007552F4"/>
    <w:rsid w:val="00757963"/>
    <w:rsid w:val="007740A8"/>
    <w:rsid w:val="0077733C"/>
    <w:rsid w:val="0078106E"/>
    <w:rsid w:val="00784A95"/>
    <w:rsid w:val="00794896"/>
    <w:rsid w:val="007A7ECC"/>
    <w:rsid w:val="007B013C"/>
    <w:rsid w:val="007C16A1"/>
    <w:rsid w:val="007C569A"/>
    <w:rsid w:val="007D77F3"/>
    <w:rsid w:val="007E6DFB"/>
    <w:rsid w:val="007E7450"/>
    <w:rsid w:val="007E7E70"/>
    <w:rsid w:val="007F1AE8"/>
    <w:rsid w:val="008041A8"/>
    <w:rsid w:val="00827B8B"/>
    <w:rsid w:val="008322CC"/>
    <w:rsid w:val="008618D9"/>
    <w:rsid w:val="0086751B"/>
    <w:rsid w:val="008900A2"/>
    <w:rsid w:val="0089152F"/>
    <w:rsid w:val="00891B34"/>
    <w:rsid w:val="00893725"/>
    <w:rsid w:val="008A5BDE"/>
    <w:rsid w:val="008A77BE"/>
    <w:rsid w:val="008C0E33"/>
    <w:rsid w:val="008C48E9"/>
    <w:rsid w:val="008C59D2"/>
    <w:rsid w:val="008C5D9F"/>
    <w:rsid w:val="008C62F6"/>
    <w:rsid w:val="008D3127"/>
    <w:rsid w:val="008D5114"/>
    <w:rsid w:val="008E65D5"/>
    <w:rsid w:val="008F089A"/>
    <w:rsid w:val="008F657D"/>
    <w:rsid w:val="0092168A"/>
    <w:rsid w:val="0092267E"/>
    <w:rsid w:val="00936E7D"/>
    <w:rsid w:val="00956B38"/>
    <w:rsid w:val="00966B95"/>
    <w:rsid w:val="00975372"/>
    <w:rsid w:val="00975C93"/>
    <w:rsid w:val="00976E77"/>
    <w:rsid w:val="00982F27"/>
    <w:rsid w:val="00997C99"/>
    <w:rsid w:val="009A3259"/>
    <w:rsid w:val="009C0185"/>
    <w:rsid w:val="009E69C0"/>
    <w:rsid w:val="009F1281"/>
    <w:rsid w:val="009F3498"/>
    <w:rsid w:val="009F417B"/>
    <w:rsid w:val="00A058D4"/>
    <w:rsid w:val="00A2351D"/>
    <w:rsid w:val="00A34F6C"/>
    <w:rsid w:val="00A625EC"/>
    <w:rsid w:val="00A70459"/>
    <w:rsid w:val="00A768BC"/>
    <w:rsid w:val="00A94CE0"/>
    <w:rsid w:val="00AA54C2"/>
    <w:rsid w:val="00AB4F32"/>
    <w:rsid w:val="00AB56B7"/>
    <w:rsid w:val="00B01066"/>
    <w:rsid w:val="00B30077"/>
    <w:rsid w:val="00B332C8"/>
    <w:rsid w:val="00B33C58"/>
    <w:rsid w:val="00B4681C"/>
    <w:rsid w:val="00B475B9"/>
    <w:rsid w:val="00B60996"/>
    <w:rsid w:val="00B6634C"/>
    <w:rsid w:val="00B71E16"/>
    <w:rsid w:val="00B8031D"/>
    <w:rsid w:val="00B950AF"/>
    <w:rsid w:val="00BB7884"/>
    <w:rsid w:val="00BE338E"/>
    <w:rsid w:val="00BF0873"/>
    <w:rsid w:val="00C038E9"/>
    <w:rsid w:val="00C03B01"/>
    <w:rsid w:val="00C1361A"/>
    <w:rsid w:val="00C309B1"/>
    <w:rsid w:val="00C31162"/>
    <w:rsid w:val="00C34341"/>
    <w:rsid w:val="00C406F1"/>
    <w:rsid w:val="00C622E2"/>
    <w:rsid w:val="00C62B24"/>
    <w:rsid w:val="00C836EA"/>
    <w:rsid w:val="00CA0542"/>
    <w:rsid w:val="00CA193F"/>
    <w:rsid w:val="00CB5C11"/>
    <w:rsid w:val="00CC4A52"/>
    <w:rsid w:val="00CD30C4"/>
    <w:rsid w:val="00CD61D3"/>
    <w:rsid w:val="00CD6BC0"/>
    <w:rsid w:val="00CE4ACA"/>
    <w:rsid w:val="00CF65F4"/>
    <w:rsid w:val="00D00928"/>
    <w:rsid w:val="00D03B08"/>
    <w:rsid w:val="00D05B1A"/>
    <w:rsid w:val="00D07A83"/>
    <w:rsid w:val="00D45603"/>
    <w:rsid w:val="00D52BC2"/>
    <w:rsid w:val="00D61485"/>
    <w:rsid w:val="00D91126"/>
    <w:rsid w:val="00D9378C"/>
    <w:rsid w:val="00DA7C2C"/>
    <w:rsid w:val="00DC3A6C"/>
    <w:rsid w:val="00DC47D9"/>
    <w:rsid w:val="00DD0E72"/>
    <w:rsid w:val="00DD338A"/>
    <w:rsid w:val="00DD709D"/>
    <w:rsid w:val="00DE4F08"/>
    <w:rsid w:val="00DF329B"/>
    <w:rsid w:val="00DF7E46"/>
    <w:rsid w:val="00DF7EA7"/>
    <w:rsid w:val="00E111C7"/>
    <w:rsid w:val="00E3253A"/>
    <w:rsid w:val="00E34425"/>
    <w:rsid w:val="00E35376"/>
    <w:rsid w:val="00E40391"/>
    <w:rsid w:val="00E451C3"/>
    <w:rsid w:val="00E45351"/>
    <w:rsid w:val="00E60290"/>
    <w:rsid w:val="00E660C8"/>
    <w:rsid w:val="00E80F94"/>
    <w:rsid w:val="00E870C6"/>
    <w:rsid w:val="00EA4EFE"/>
    <w:rsid w:val="00EA626B"/>
    <w:rsid w:val="00EB5254"/>
    <w:rsid w:val="00EE2526"/>
    <w:rsid w:val="00EE6FF8"/>
    <w:rsid w:val="00EF1017"/>
    <w:rsid w:val="00F0326A"/>
    <w:rsid w:val="00F066BE"/>
    <w:rsid w:val="00F157A9"/>
    <w:rsid w:val="00F1588C"/>
    <w:rsid w:val="00F3021B"/>
    <w:rsid w:val="00F3555E"/>
    <w:rsid w:val="00F35A18"/>
    <w:rsid w:val="00F453C0"/>
    <w:rsid w:val="00F54E39"/>
    <w:rsid w:val="00F57E80"/>
    <w:rsid w:val="00F6045F"/>
    <w:rsid w:val="00F7179C"/>
    <w:rsid w:val="00F75061"/>
    <w:rsid w:val="00F7782C"/>
    <w:rsid w:val="00F77902"/>
    <w:rsid w:val="00F830AF"/>
    <w:rsid w:val="00F866CA"/>
    <w:rsid w:val="00F86791"/>
    <w:rsid w:val="00FA1460"/>
    <w:rsid w:val="00FC1D05"/>
    <w:rsid w:val="00FD42F0"/>
    <w:rsid w:val="00FD7E2B"/>
    <w:rsid w:val="00FE0ABB"/>
    <w:rsid w:val="00FE0DF4"/>
    <w:rsid w:val="00FE2650"/>
    <w:rsid w:val="00FF1189"/>
    <w:rsid w:val="075A4E8B"/>
    <w:rsid w:val="09DF61C7"/>
    <w:rsid w:val="0C2542C3"/>
    <w:rsid w:val="0E966220"/>
    <w:rsid w:val="14FC5A4C"/>
    <w:rsid w:val="1B7E6554"/>
    <w:rsid w:val="1CC46CE7"/>
    <w:rsid w:val="1ED11F7E"/>
    <w:rsid w:val="1F390D35"/>
    <w:rsid w:val="2BAD3839"/>
    <w:rsid w:val="2C234E88"/>
    <w:rsid w:val="35B7620E"/>
    <w:rsid w:val="3C8A67FF"/>
    <w:rsid w:val="52935DC9"/>
    <w:rsid w:val="5A03038B"/>
    <w:rsid w:val="5AA45430"/>
    <w:rsid w:val="5AD43946"/>
    <w:rsid w:val="6DFF1924"/>
    <w:rsid w:val="6EB509D2"/>
    <w:rsid w:val="72442CF6"/>
    <w:rsid w:val="7292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unhideWhenUsed/>
    <w:qFormat/>
    <w:uiPriority w:val="99"/>
    <w:pPr>
      <w:spacing w:after="120"/>
      <w:ind w:left="420" w:leftChars="2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unhideWhenUsed/>
    <w:qFormat/>
    <w:uiPriority w:val="99"/>
    <w:pPr>
      <w:ind w:left="200" w:firstLine="420"/>
    </w:pPr>
  </w:style>
  <w:style w:type="character" w:styleId="10">
    <w:name w:val="page number"/>
    <w:basedOn w:val="9"/>
    <w:unhideWhenUsed/>
    <w:qFormat/>
    <w:uiPriority w:val="99"/>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404</Words>
  <Characters>2304</Characters>
  <Lines>19</Lines>
  <Paragraphs>5</Paragraphs>
  <TotalTime>0</TotalTime>
  <ScaleCrop>false</ScaleCrop>
  <LinksUpToDate>false</LinksUpToDate>
  <CharactersWithSpaces>2703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2019-11-04T04:37:00Z</dcterms:created>
  <dc:creator>王晶晶</dc:creator>
  <cp:lastModifiedBy>Administrator</cp:lastModifiedBy>
  <cp:lastPrinted>2021-09-16T03:17:00Z</cp:lastPrinted>
  <dcterms:modified xsi:type="dcterms:W3CDTF">2021-11-02T06:55:18Z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